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4A1F55"/>
        </w:rPr>
        <w:t>Vendor meeting sheet</w:t>
      </w:r>
    </w:p>
    <w:p>
      <w:r>
        <w:t>Pick the questions that fit the task. Send them before the meeting. Write down the answer, the evidence you saw and what's missing.</w:t>
      </w:r>
    </w:p>
    <w:p>
      <w:pPr>
        <w:pStyle w:val="Heading2"/>
      </w:pPr>
      <w:r>
        <w:t>First conversation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Question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Evidence seen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Gaps</w:t>
            </w:r>
          </w:p>
        </w:tc>
      </w:tr>
      <w:tr>
        <w:tc>
          <w:tcPr>
            <w:tcW w:type="dxa" w:w="2160"/>
          </w:tcPr>
          <w:p>
            <w:r>
              <w:t>What exactly will it do, step by step, on a typical case of ours?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will it never do without a person's approval? Can we change that?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Is this an agent, a workflow or ordinary software? Why is that the right choice for this task?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happens when it meets a case it can't handle?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Can you show it working at a customer like us, on real cases, not a demo?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often does it get things wrong on cases like ours? How was that measured?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it tell us when it's unsure, and can it say "I don't know"?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Can it show the source of every fact it uses?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will we see its mistakes: logs, reports, alerts?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do we test it on our own past cases before we go live?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Before signing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Question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Evidence seen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Gaps</w:t>
            </w:r>
          </w:p>
        </w:tc>
      </w:tr>
      <w:tr>
        <w:tc>
          <w:tcPr>
            <w:tcW w:type="dxa" w:w="2160"/>
          </w:tcPr>
          <w:p>
            <w:r>
              <w:t>What is the full cost: setup, seats, usage, support, upgrades?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will it cost per finished task for cases like ours?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If you charge per outcome, what counts as an outcome, and who decides?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happens to the price after any introductory offer, and at renewal?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Can we set spending limits and alerts ourselves?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Who owns the instructions, examples, procedures and data we create?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Can we export them, in what format, at any time?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 you support standard connections such as MCP? Can you show the connection working with one of our own systems, with the permissions we need?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Can you show how we would move our instructions, data and connections to another vendor?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What happens when the underlying AI model changes? Will you tell us in advance, and retest?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long is the commitment, and what does it cost to leave?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If we stop after 90 days, what do we keep?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it tell customers they're dealing with AI, and can they reach a person?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Will it be used in any decision that significantly affects an individual (hiring, credit, pricing for one customer)? If so, how is a person kept in charge?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Which parts of the EU AI Act, or US state rules, do you consider relevant, and how do you meet them?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Who is liable if it gives a customer wrong information?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For your IT partner or adviser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Question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Evidence seen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Gaps</w:t>
            </w:r>
          </w:p>
        </w:tc>
      </w:tr>
      <w:tr>
        <w:tc>
          <w:tcPr>
            <w:tcW w:type="dxa" w:w="2160"/>
          </w:tcPr>
          <w:p>
            <w:r>
              <w:t>What data of ours will it read, and what will it store?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Where is the data stored, and in which country?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Is our data used to train any model, yours or anyone else's? Can we have that in writing?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Will you sign a data processing agreement?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How do we find and delete a specific person's data, including anything in its memory?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Which subcontractors and AI model providers are involved?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Which of our systems can it access, and with what permissions? Read, write or both?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it run under its own account, separate from any person's?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Does it read content from outside the company (customer emails, web pages)? If so, what stops hidden instructions in that content from being followed?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Can it send anything outside the company on its own?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 backups out of its reach?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Do you hold any security or AI management certifications (for example ISO 27001 or ISO/IEC 42001)?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rPr>
          <w:i/>
          <w:sz w:val="18"/>
        </w:rPr>
        <w:t>From the book We Use AI. Nothing Has Changed. (Mads Hundahl, 2026). Free to copy and adapt inside your organization.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" w:hAnsi="Nun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